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0E" w:rsidRPr="0006200E" w:rsidRDefault="001714FF" w:rsidP="0006200E">
      <w:pPr>
        <w:widowControl/>
        <w:spacing w:line="360" w:lineRule="auto"/>
        <w:jc w:val="center"/>
        <w:outlineLvl w:val="1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bookmarkStart w:id="0" w:name="_GoBack"/>
      <w:r w:rsidRPr="00190E49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交通无线电台—水上专用频率</w:t>
      </w:r>
      <w:r w:rsidR="00190E49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（岸台）</w:t>
      </w:r>
      <w:r w:rsidR="0006200E" w:rsidRPr="0006200E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申请</w:t>
      </w:r>
      <w:r w:rsidR="00300E54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表</w:t>
      </w:r>
    </w:p>
    <w:bookmarkEnd w:id="0"/>
    <w:p w:rsidR="0006200E" w:rsidRDefault="0006200E" w:rsidP="0006200E">
      <w:pPr>
        <w:rPr>
          <w:b/>
          <w:bCs/>
        </w:rPr>
      </w:pPr>
      <w:r>
        <w:rPr>
          <w:rFonts w:ascii="宋体" w:hint="eastAsia"/>
          <w:b/>
          <w:bCs/>
        </w:rPr>
        <w:t>国无管表 1</w:t>
      </w:r>
      <w:r>
        <w:rPr>
          <w:rFonts w:hint="eastAsia"/>
          <w:b/>
          <w:bCs/>
        </w:rPr>
        <w:t xml:space="preserve">                                                                            </w:t>
      </w:r>
    </w:p>
    <w:tbl>
      <w:tblPr>
        <w:tblW w:w="1014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762"/>
        <w:gridCol w:w="483"/>
        <w:gridCol w:w="387"/>
        <w:gridCol w:w="1575"/>
        <w:gridCol w:w="251"/>
        <w:gridCol w:w="326"/>
        <w:gridCol w:w="830"/>
        <w:gridCol w:w="238"/>
        <w:gridCol w:w="331"/>
        <w:gridCol w:w="872"/>
        <w:gridCol w:w="131"/>
        <w:gridCol w:w="291"/>
        <w:gridCol w:w="734"/>
        <w:gridCol w:w="512"/>
        <w:gridCol w:w="102"/>
        <w:gridCol w:w="1066"/>
      </w:tblGrid>
      <w:tr w:rsidR="0006200E" w:rsidRPr="0050483F" w:rsidTr="00432224">
        <w:trPr>
          <w:cantSplit/>
          <w:trHeight w:hRule="exact" w:val="503"/>
        </w:trPr>
        <w:tc>
          <w:tcPr>
            <w:tcW w:w="10142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6200E" w:rsidRPr="004C67F2" w:rsidRDefault="0006200E" w:rsidP="0006200E">
            <w:pPr>
              <w:pStyle w:val="a6"/>
              <w:numPr>
                <w:ilvl w:val="0"/>
                <w:numId w:val="3"/>
              </w:numPr>
              <w:spacing w:before="100"/>
              <w:ind w:firstLineChars="0"/>
              <w:rPr>
                <w:rFonts w:ascii="宋体"/>
                <w:bCs/>
                <w:szCs w:val="21"/>
              </w:rPr>
            </w:pPr>
            <w:r w:rsidRPr="004C67F2">
              <w:rPr>
                <w:rFonts w:ascii="宋体" w:hint="eastAsia"/>
                <w:bCs/>
                <w:szCs w:val="21"/>
              </w:rPr>
              <w:t>申请信息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 w:val="restart"/>
            <w:tcBorders>
              <w:top w:val="single" w:sz="12" w:space="0" w:color="auto"/>
            </w:tcBorders>
            <w:vAlign w:val="center"/>
          </w:tcPr>
          <w:p w:rsidR="0006200E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频率</w:t>
            </w:r>
          </w:p>
          <w:p w:rsidR="0006200E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申请</w:t>
            </w:r>
          </w:p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单位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</w:tcBorders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名称</w:t>
            </w:r>
          </w:p>
        </w:tc>
        <w:tc>
          <w:tcPr>
            <w:tcW w:w="4423" w:type="dxa"/>
            <w:gridSpan w:val="7"/>
            <w:tcBorders>
              <w:top w:val="single" w:sz="12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系统代码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系统自动生成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组织机构代码</w:t>
            </w:r>
          </w:p>
        </w:tc>
        <w:tc>
          <w:tcPr>
            <w:tcW w:w="4423" w:type="dxa"/>
            <w:gridSpan w:val="7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3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邮政编码</w:t>
            </w:r>
          </w:p>
        </w:tc>
        <w:tc>
          <w:tcPr>
            <w:tcW w:w="1680" w:type="dxa"/>
            <w:gridSpan w:val="3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通信地址</w:t>
            </w:r>
          </w:p>
        </w:tc>
        <w:tc>
          <w:tcPr>
            <w:tcW w:w="7259" w:type="dxa"/>
            <w:gridSpan w:val="13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联系人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联系电话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传真号码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手机号码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电子信箱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536"/>
        </w:trPr>
        <w:tc>
          <w:tcPr>
            <w:tcW w:w="2496" w:type="dxa"/>
            <w:gridSpan w:val="3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无线电系统/网络 名称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00E" w:rsidRPr="00E7464E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卫星/星座名称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标称轨道经度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ind w:firstLineChars="300" w:firstLine="63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szCs w:val="21"/>
              </w:rPr>
              <w:t>°</w:t>
            </w:r>
          </w:p>
        </w:tc>
      </w:tr>
      <w:tr w:rsidR="0006200E" w:rsidRPr="0050483F" w:rsidTr="00432224">
        <w:trPr>
          <w:cantSplit/>
          <w:trHeight w:hRule="exact" w:val="484"/>
        </w:trPr>
        <w:tc>
          <w:tcPr>
            <w:tcW w:w="2496" w:type="dxa"/>
            <w:gridSpan w:val="3"/>
            <w:tcBorders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信道带宽/波道间隔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int="eastAsia"/>
                <w:szCs w:val="21"/>
              </w:rPr>
              <w:t xml:space="preserve">     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bCs/>
                <w:szCs w:val="21"/>
              </w:rPr>
              <w:t>□MHz</w:t>
            </w:r>
          </w:p>
        </w:tc>
        <w:tc>
          <w:tcPr>
            <w:tcW w:w="25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通信业务/系统 类型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496" w:type="dxa"/>
            <w:gridSpan w:val="3"/>
            <w:tcBorders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业务性质</w:t>
            </w:r>
          </w:p>
        </w:tc>
        <w:tc>
          <w:tcPr>
            <w:tcW w:w="3938" w:type="dxa"/>
            <w:gridSpan w:val="7"/>
            <w:tcBorders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bCs/>
                <w:szCs w:val="21"/>
              </w:rPr>
              <w:t xml:space="preserve">专用 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bCs/>
                <w:szCs w:val="21"/>
              </w:rPr>
              <w:t xml:space="preserve">公众 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bCs/>
                <w:szCs w:val="21"/>
              </w:rPr>
              <w:t>其他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技术体制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F3E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使用范围</w:t>
            </w:r>
          </w:p>
        </w:tc>
        <w:tc>
          <w:tcPr>
            <w:tcW w:w="8129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□国际/跨边境（界）  □</w:t>
            </w:r>
            <w:r w:rsidRPr="0050483F">
              <w:rPr>
                <w:rFonts w:ascii="宋体" w:hint="eastAsia"/>
                <w:bCs/>
                <w:szCs w:val="21"/>
              </w:rPr>
              <w:t>全国</w:t>
            </w:r>
            <w:r w:rsidRPr="0050483F">
              <w:rPr>
                <w:rFonts w:ascii="宋体" w:hAnsi="宋体" w:hint="eastAsia"/>
                <w:bCs/>
                <w:szCs w:val="21"/>
              </w:rPr>
              <w:t xml:space="preserve">  □</w:t>
            </w:r>
            <w:r w:rsidRPr="0050483F">
              <w:rPr>
                <w:rFonts w:ascii="宋体" w:hint="eastAsia"/>
                <w:bCs/>
                <w:szCs w:val="21"/>
              </w:rPr>
              <w:t xml:space="preserve">跨省 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bCs/>
                <w:szCs w:val="21"/>
              </w:rPr>
              <w:t xml:space="preserve">省内 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bCs/>
                <w:szCs w:val="21"/>
              </w:rPr>
              <w:t xml:space="preserve">地市  </w:t>
            </w:r>
            <w:r w:rsidRPr="0050483F">
              <w:rPr>
                <w:rFonts w:ascii="宋体" w:hAnsi="宋体" w:hint="eastAsia"/>
                <w:bCs/>
                <w:szCs w:val="21"/>
              </w:rPr>
              <w:t>□县级</w:t>
            </w:r>
            <w:r w:rsidRPr="0050483F"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bCs/>
                <w:szCs w:val="21"/>
              </w:rPr>
              <w:t>其他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网络用途</w:t>
            </w:r>
          </w:p>
        </w:tc>
        <w:tc>
          <w:tcPr>
            <w:tcW w:w="812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申请信（波）道</w:t>
            </w:r>
          </w:p>
          <w:p w:rsidR="0006200E" w:rsidRPr="0050483F" w:rsidRDefault="0006200E" w:rsidP="00432224">
            <w:pPr>
              <w:spacing w:before="60"/>
              <w:ind w:firstLineChars="100" w:firstLine="21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szCs w:val="21"/>
              </w:rPr>
              <w:t>的中心频率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200E" w:rsidRDefault="0006200E" w:rsidP="0006200E">
            <w:pPr>
              <w:jc w:val="center"/>
            </w:pPr>
            <w:r w:rsidRPr="00042263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kHz</w:t>
            </w:r>
          </w:p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MHz</w:t>
            </w:r>
          </w:p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  <w:tc>
          <w:tcPr>
            <w:tcW w:w="32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kHz</w:t>
            </w:r>
          </w:p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MHz</w:t>
            </w:r>
          </w:p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22" w:type="dxa"/>
            <w:gridSpan w:val="5"/>
            <w:shd w:val="clear" w:color="auto" w:fill="auto"/>
          </w:tcPr>
          <w:p w:rsidR="0006200E" w:rsidRDefault="0006200E" w:rsidP="0006200E">
            <w:pPr>
              <w:jc w:val="center"/>
            </w:pPr>
            <w:r w:rsidRPr="00042263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22" w:type="dxa"/>
            <w:gridSpan w:val="5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22" w:type="dxa"/>
            <w:gridSpan w:val="5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22" w:type="dxa"/>
            <w:gridSpan w:val="5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22" w:type="dxa"/>
            <w:gridSpan w:val="5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22" w:type="dxa"/>
            <w:gridSpan w:val="5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830" w:type="dxa"/>
            <w:vMerge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/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 w:val="restart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Ansi="宋体" w:hint="eastAsia"/>
                <w:szCs w:val="21"/>
              </w:rPr>
              <w:t>申请</w:t>
            </w:r>
            <w:r w:rsidRPr="0050483F">
              <w:rPr>
                <w:rFonts w:ascii="宋体" w:hint="eastAsia"/>
                <w:szCs w:val="21"/>
              </w:rPr>
              <w:t>频率范围</w:t>
            </w:r>
          </w:p>
        </w:tc>
        <w:tc>
          <w:tcPr>
            <w:tcW w:w="5715" w:type="dxa"/>
            <w:gridSpan w:val="11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起：                    止：</w:t>
            </w:r>
          </w:p>
        </w:tc>
        <w:tc>
          <w:tcPr>
            <w:tcW w:w="2414" w:type="dxa"/>
            <w:gridSpan w:val="4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MHz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15" w:type="dxa"/>
            <w:gridSpan w:val="11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起：                    止：</w:t>
            </w:r>
          </w:p>
        </w:tc>
        <w:tc>
          <w:tcPr>
            <w:tcW w:w="2414" w:type="dxa"/>
            <w:gridSpan w:val="4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MHz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15" w:type="dxa"/>
            <w:gridSpan w:val="11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起：                    止：</w:t>
            </w:r>
          </w:p>
        </w:tc>
        <w:tc>
          <w:tcPr>
            <w:tcW w:w="2414" w:type="dxa"/>
            <w:gridSpan w:val="4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MHz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15" w:type="dxa"/>
            <w:gridSpan w:val="11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起：                    止：</w:t>
            </w:r>
          </w:p>
        </w:tc>
        <w:tc>
          <w:tcPr>
            <w:tcW w:w="2414" w:type="dxa"/>
            <w:gridSpan w:val="4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MHz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5715" w:type="dxa"/>
            <w:gridSpan w:val="11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起：                    止：</w:t>
            </w:r>
          </w:p>
        </w:tc>
        <w:tc>
          <w:tcPr>
            <w:tcW w:w="2414" w:type="dxa"/>
            <w:gridSpan w:val="4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bCs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MHz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vMerge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5" w:type="dxa"/>
            <w:gridSpan w:val="11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起：                    止：</w:t>
            </w:r>
          </w:p>
        </w:tc>
        <w:tc>
          <w:tcPr>
            <w:tcW w:w="2414" w:type="dxa"/>
            <w:gridSpan w:val="4"/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rPr>
                <w:rFonts w:ascii="宋体" w:hAnsi="宋体"/>
                <w:szCs w:val="21"/>
              </w:rPr>
            </w:pP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kHz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 xml:space="preserve">MHz </w:t>
            </w:r>
            <w:r w:rsidRPr="0050483F">
              <w:rPr>
                <w:rFonts w:ascii="宋体" w:hAnsi="宋体" w:hint="eastAsia"/>
                <w:szCs w:val="21"/>
              </w:rPr>
              <w:t>□</w:t>
            </w:r>
            <w:r w:rsidRPr="0050483F">
              <w:rPr>
                <w:rFonts w:ascii="宋体" w:hint="eastAsia"/>
                <w:szCs w:val="21"/>
              </w:rPr>
              <w:t>GHz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2013" w:type="dxa"/>
            <w:gridSpan w:val="2"/>
            <w:tcBorders>
              <w:bottom w:val="single" w:sz="12" w:space="0" w:color="auto"/>
            </w:tcBorders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申请频率使用期限</w:t>
            </w:r>
          </w:p>
        </w:tc>
        <w:tc>
          <w:tcPr>
            <w:tcW w:w="8129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06200E" w:rsidRPr="0050483F" w:rsidRDefault="0006200E" w:rsidP="00432224">
            <w:pPr>
              <w:spacing w:before="60"/>
              <w:ind w:firstLineChars="400" w:firstLine="84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年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int="eastAsia"/>
                <w:bCs/>
                <w:szCs w:val="21"/>
              </w:rPr>
              <w:t>月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int="eastAsia"/>
                <w:bCs/>
                <w:szCs w:val="21"/>
              </w:rPr>
              <w:t>日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int="eastAsia"/>
                <w:bCs/>
                <w:szCs w:val="21"/>
              </w:rPr>
              <w:t>至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int="eastAsia"/>
                <w:bCs/>
                <w:szCs w:val="21"/>
              </w:rPr>
              <w:t>年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int="eastAsia"/>
                <w:bCs/>
                <w:szCs w:val="21"/>
              </w:rPr>
              <w:t>月</w:t>
            </w: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int="eastAsia"/>
                <w:bCs/>
                <w:szCs w:val="21"/>
              </w:rPr>
              <w:t>日</w:t>
            </w: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缴费单位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名称</w:t>
            </w:r>
          </w:p>
        </w:tc>
        <w:tc>
          <w:tcPr>
            <w:tcW w:w="7259" w:type="dxa"/>
            <w:gridSpan w:val="13"/>
            <w:tcBorders>
              <w:top w:val="single" w:sz="12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组织机构代码</w:t>
            </w:r>
          </w:p>
        </w:tc>
        <w:tc>
          <w:tcPr>
            <w:tcW w:w="4423" w:type="dxa"/>
            <w:gridSpan w:val="7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3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邮政编码</w:t>
            </w:r>
          </w:p>
        </w:tc>
        <w:tc>
          <w:tcPr>
            <w:tcW w:w="1680" w:type="dxa"/>
            <w:gridSpan w:val="3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通信地址</w:t>
            </w:r>
          </w:p>
        </w:tc>
        <w:tc>
          <w:tcPr>
            <w:tcW w:w="7259" w:type="dxa"/>
            <w:gridSpan w:val="13"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联系人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联系电话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传真号码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hRule="exact" w:val="401"/>
        </w:trPr>
        <w:tc>
          <w:tcPr>
            <w:tcW w:w="1251" w:type="dxa"/>
            <w:vMerge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手机号码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电子邮箱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06200E" w:rsidRPr="0050483F" w:rsidTr="00432224">
        <w:trPr>
          <w:cantSplit/>
          <w:trHeight w:val="147"/>
        </w:trPr>
        <w:tc>
          <w:tcPr>
            <w:tcW w:w="1251" w:type="dxa"/>
            <w:vMerge/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开户银行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账户名称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06200E" w:rsidRPr="0050483F" w:rsidTr="00432224">
        <w:trPr>
          <w:cantSplit/>
          <w:trHeight w:val="147"/>
        </w:trPr>
        <w:tc>
          <w:tcPr>
            <w:tcW w:w="12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szCs w:val="21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jc w:val="center"/>
              <w:rPr>
                <w:rFonts w:ascii="宋体"/>
                <w:bCs/>
                <w:szCs w:val="21"/>
              </w:rPr>
            </w:pPr>
            <w:r w:rsidRPr="0050483F">
              <w:rPr>
                <w:rFonts w:ascii="宋体" w:hint="eastAsia"/>
                <w:bCs/>
                <w:szCs w:val="21"/>
              </w:rPr>
              <w:t>银行账号</w:t>
            </w:r>
          </w:p>
        </w:tc>
        <w:tc>
          <w:tcPr>
            <w:tcW w:w="7259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06200E" w:rsidRPr="0050483F" w:rsidRDefault="0006200E" w:rsidP="00432224">
            <w:pPr>
              <w:spacing w:before="60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06200E" w:rsidRPr="0050483F" w:rsidTr="00432224">
        <w:tblPrEx>
          <w:tblBorders>
            <w:insideH w:val="single" w:sz="12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0142" w:type="dxa"/>
            <w:gridSpan w:val="17"/>
            <w:shd w:val="clear" w:color="auto" w:fill="auto"/>
          </w:tcPr>
          <w:p w:rsidR="0006200E" w:rsidRPr="0050483F" w:rsidRDefault="0006200E" w:rsidP="00432224">
            <w:pPr>
              <w:spacing w:before="100"/>
              <w:rPr>
                <w:bCs/>
                <w:szCs w:val="21"/>
              </w:rPr>
            </w:pPr>
            <w:r w:rsidRPr="0050483F">
              <w:rPr>
                <w:rFonts w:ascii="宋体" w:hAnsi="宋体"/>
                <w:bCs/>
                <w:szCs w:val="21"/>
              </w:rPr>
              <w:lastRenderedPageBreak/>
              <w:t>②</w:t>
            </w:r>
            <w:r w:rsidRPr="0050483F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50483F">
              <w:rPr>
                <w:rFonts w:ascii="宋体" w:hint="eastAsia"/>
                <w:bCs/>
                <w:szCs w:val="21"/>
              </w:rPr>
              <w:t>申请人承诺</w:t>
            </w:r>
          </w:p>
        </w:tc>
      </w:tr>
      <w:tr w:rsidR="0006200E" w:rsidRPr="0050483F" w:rsidTr="00432224">
        <w:tblPrEx>
          <w:tblBorders>
            <w:insideH w:val="single" w:sz="12" w:space="0" w:color="auto"/>
            <w:insideV w:val="single" w:sz="4" w:space="0" w:color="auto"/>
          </w:tblBorders>
        </w:tblPrEx>
        <w:trPr>
          <w:cantSplit/>
          <w:trHeight w:val="963"/>
        </w:trPr>
        <w:tc>
          <w:tcPr>
            <w:tcW w:w="10142" w:type="dxa"/>
            <w:gridSpan w:val="17"/>
          </w:tcPr>
          <w:p w:rsidR="0006200E" w:rsidRPr="0050483F" w:rsidRDefault="0006200E" w:rsidP="0006200E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 w:rsidRPr="0050483F">
              <w:rPr>
                <w:rFonts w:hint="eastAsia"/>
                <w:bCs/>
                <w:szCs w:val="21"/>
              </w:rPr>
              <w:t>本申请表填写的所有内容真实、准确；</w:t>
            </w:r>
          </w:p>
          <w:p w:rsidR="0006200E" w:rsidRPr="0050483F" w:rsidRDefault="0006200E" w:rsidP="0006200E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 w:rsidRPr="0050483F">
              <w:rPr>
                <w:rFonts w:hint="eastAsia"/>
                <w:bCs/>
                <w:szCs w:val="21"/>
              </w:rPr>
              <w:t>本单位如变更地址、名称等事项，将及时向无线电管理机构备案；</w:t>
            </w:r>
            <w:r w:rsidRPr="0050483F">
              <w:rPr>
                <w:rFonts w:hint="eastAsia"/>
                <w:bCs/>
                <w:szCs w:val="21"/>
              </w:rPr>
              <w:t xml:space="preserve">     </w:t>
            </w:r>
          </w:p>
          <w:p w:rsidR="0006200E" w:rsidRPr="00DC1755" w:rsidRDefault="0006200E" w:rsidP="0006200E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bCs/>
                <w:szCs w:val="21"/>
              </w:rPr>
            </w:pPr>
            <w:r w:rsidRPr="00DC1755">
              <w:rPr>
                <w:rFonts w:hint="eastAsia"/>
                <w:bCs/>
                <w:szCs w:val="21"/>
              </w:rPr>
              <w:t>遵守国家有关无线电管理规定，并按规定缴纳频率占用费。</w:t>
            </w:r>
          </w:p>
          <w:p w:rsidR="0006200E" w:rsidRPr="0050483F" w:rsidRDefault="0006200E" w:rsidP="00432224">
            <w:pPr>
              <w:rPr>
                <w:bCs/>
                <w:szCs w:val="21"/>
              </w:rPr>
            </w:pPr>
          </w:p>
          <w:p w:rsidR="0006200E" w:rsidRPr="0050483F" w:rsidRDefault="0006200E" w:rsidP="00432224">
            <w:pPr>
              <w:ind w:leftChars="3700" w:left="7770"/>
              <w:rPr>
                <w:rFonts w:ascii="宋体" w:hAnsi="宋体"/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 xml:space="preserve">申请人（签章）： </w:t>
            </w:r>
          </w:p>
          <w:p w:rsidR="0006200E" w:rsidRPr="0050483F" w:rsidRDefault="0006200E" w:rsidP="00432224">
            <w:pPr>
              <w:rPr>
                <w:rFonts w:ascii="宋体" w:hAnsi="宋体"/>
                <w:bCs/>
                <w:szCs w:val="21"/>
              </w:rPr>
            </w:pPr>
          </w:p>
          <w:p w:rsidR="0006200E" w:rsidRPr="0050483F" w:rsidRDefault="0006200E" w:rsidP="0006200E">
            <w:pPr>
              <w:ind w:firstLineChars="3500" w:firstLine="7350"/>
              <w:rPr>
                <w:bCs/>
                <w:szCs w:val="21"/>
              </w:rPr>
            </w:pPr>
            <w:r w:rsidRPr="0050483F">
              <w:rPr>
                <w:rFonts w:ascii="宋体" w:hAnsi="宋体" w:hint="eastAsia"/>
                <w:bCs/>
                <w:szCs w:val="21"/>
              </w:rPr>
              <w:t>日期：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50483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06200E" w:rsidRDefault="0006200E" w:rsidP="0006200E">
      <w:pPr>
        <w:tabs>
          <w:tab w:val="left" w:pos="7934"/>
        </w:tabs>
        <w:jc w:val="left"/>
        <w:rPr>
          <w:rFonts w:ascii="宋体" w:hAnsi="宋体"/>
          <w:szCs w:val="21"/>
        </w:rPr>
      </w:pPr>
    </w:p>
    <w:p w:rsidR="0006200E" w:rsidRDefault="0006200E" w:rsidP="0006200E">
      <w:pPr>
        <w:tabs>
          <w:tab w:val="left" w:pos="7934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应附资料：</w:t>
      </w:r>
    </w:p>
    <w:p w:rsidR="0006200E" w:rsidRDefault="0006200E" w:rsidP="0006200E">
      <w:pPr>
        <w:tabs>
          <w:tab w:val="left" w:pos="7934"/>
        </w:tabs>
        <w:jc w:val="left"/>
        <w:rPr>
          <w:rFonts w:ascii="宋体" w:hAnsi="宋体"/>
          <w:szCs w:val="21"/>
        </w:rPr>
      </w:pPr>
      <w:r w:rsidRPr="00892368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频率申请文</w:t>
      </w:r>
    </w:p>
    <w:p w:rsidR="0006200E" w:rsidRPr="00892368" w:rsidRDefault="0006200E" w:rsidP="0006200E">
      <w:pPr>
        <w:tabs>
          <w:tab w:val="left" w:pos="7934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Pr="001C795B">
        <w:rPr>
          <w:rFonts w:ascii="宋体" w:hAnsi="宋体" w:hint="eastAsia"/>
          <w:color w:val="000000"/>
          <w:szCs w:val="21"/>
        </w:rPr>
        <w:t>．</w:t>
      </w:r>
      <w:r w:rsidRPr="00742AAB">
        <w:rPr>
          <w:rFonts w:ascii="ˎ̥" w:hAnsi="ˎ̥" w:cs="宋体"/>
          <w:color w:val="000000"/>
          <w:kern w:val="0"/>
          <w:szCs w:val="21"/>
        </w:rPr>
        <w:t>与申请频率</w:t>
      </w:r>
      <w:r w:rsidRPr="00742AAB">
        <w:rPr>
          <w:rFonts w:ascii="ˎ̥" w:hAnsi="ˎ̥" w:cs="宋体" w:hint="eastAsia"/>
          <w:color w:val="000000"/>
          <w:kern w:val="0"/>
          <w:szCs w:val="21"/>
        </w:rPr>
        <w:t>有关的应用系统批复文件</w:t>
      </w:r>
    </w:p>
    <w:p w:rsidR="0006200E" w:rsidRDefault="0006200E" w:rsidP="0006200E">
      <w:pPr>
        <w:tabs>
          <w:tab w:val="left" w:pos="7934"/>
        </w:tabs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3</w:t>
      </w:r>
      <w:r w:rsidRPr="00892368">
        <w:rPr>
          <w:rFonts w:ascii="宋体" w:hAnsi="宋体" w:hint="eastAsia"/>
          <w:szCs w:val="21"/>
        </w:rPr>
        <w:t>．</w:t>
      </w:r>
      <w:r w:rsidRPr="0027721B">
        <w:rPr>
          <w:rFonts w:ascii="ˎ̥" w:hAnsi="ˎ̥" w:cs="宋体"/>
          <w:color w:val="000000"/>
          <w:kern w:val="0"/>
          <w:szCs w:val="21"/>
        </w:rPr>
        <w:t>申请频率的技术方案</w:t>
      </w:r>
      <w:r>
        <w:rPr>
          <w:rFonts w:ascii="ˎ̥" w:hAnsi="ˎ̥" w:cs="宋体" w:hint="eastAsia"/>
          <w:color w:val="000000"/>
          <w:kern w:val="0"/>
          <w:szCs w:val="21"/>
        </w:rPr>
        <w:t>（</w:t>
      </w:r>
      <w:proofErr w:type="gramStart"/>
      <w:r>
        <w:rPr>
          <w:rFonts w:ascii="ˎ̥" w:hAnsi="ˎ̥" w:cs="宋体" w:hint="eastAsia"/>
          <w:color w:val="000000"/>
          <w:kern w:val="0"/>
          <w:szCs w:val="21"/>
        </w:rPr>
        <w:t>含</w:t>
      </w:r>
      <w:r w:rsidRPr="0027721B">
        <w:rPr>
          <w:rFonts w:ascii="ˎ̥" w:hAnsi="ˎ̥" w:cs="宋体"/>
          <w:color w:val="000000"/>
          <w:kern w:val="0"/>
          <w:szCs w:val="21"/>
        </w:rPr>
        <w:t>开放</w:t>
      </w:r>
      <w:proofErr w:type="gramEnd"/>
      <w:r w:rsidRPr="0027721B">
        <w:rPr>
          <w:rFonts w:ascii="ˎ̥" w:hAnsi="ˎ̥" w:cs="宋体"/>
          <w:color w:val="000000"/>
          <w:kern w:val="0"/>
          <w:szCs w:val="21"/>
        </w:rPr>
        <w:t>业务市场分析</w:t>
      </w:r>
      <w:r w:rsidRPr="0027721B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投资计划、网络规模描述、拟采用的系统设备和主要功能、频率优化方案和利用率、对电磁环境的考虑及解决频率干扰的措施）</w:t>
      </w:r>
      <w:r w:rsidRPr="0027721B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06200E" w:rsidRDefault="0006200E" w:rsidP="0006200E">
      <w:pPr>
        <w:tabs>
          <w:tab w:val="left" w:pos="7934"/>
        </w:tabs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4</w:t>
      </w:r>
      <w:r w:rsidRPr="00892368">
        <w:rPr>
          <w:rFonts w:ascii="宋体" w:hAnsi="宋体" w:hint="eastAsia"/>
          <w:szCs w:val="21"/>
        </w:rPr>
        <w:t>．</w:t>
      </w:r>
      <w:r>
        <w:rPr>
          <w:rFonts w:ascii="ˎ̥" w:hAnsi="ˎ̥" w:cs="宋体" w:hint="eastAsia"/>
          <w:color w:val="333333"/>
          <w:kern w:val="0"/>
          <w:szCs w:val="21"/>
        </w:rPr>
        <w:t>交通行政许可申请书（审批登记表）</w:t>
      </w:r>
    </w:p>
    <w:p w:rsidR="0006200E" w:rsidRPr="002F10E5" w:rsidRDefault="0006200E" w:rsidP="0006200E">
      <w:pPr>
        <w:tabs>
          <w:tab w:val="left" w:pos="7934"/>
        </w:tabs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:rsidR="0006200E" w:rsidRDefault="0006200E" w:rsidP="0006200E">
      <w:pPr>
        <w:rPr>
          <w:rFonts w:ascii="宋体" w:hAnsi="宋体"/>
          <w:szCs w:val="21"/>
        </w:rPr>
      </w:pPr>
    </w:p>
    <w:p w:rsidR="0006200E" w:rsidRDefault="0006200E" w:rsidP="0006200E">
      <w:pPr>
        <w:jc w:val="center"/>
        <w:rPr>
          <w:rFonts w:eastAsia="黑体"/>
          <w:sz w:val="30"/>
          <w:szCs w:val="24"/>
        </w:rPr>
      </w:pPr>
      <w:r>
        <w:rPr>
          <w:bCs/>
          <w:szCs w:val="18"/>
        </w:rPr>
        <w:br w:type="page"/>
      </w:r>
      <w:r w:rsidRPr="00EC12BB">
        <w:rPr>
          <w:rFonts w:ascii="黑体" w:eastAsia="黑体" w:hint="eastAsia"/>
          <w:bCs/>
          <w:sz w:val="32"/>
          <w:szCs w:val="32"/>
        </w:rPr>
        <w:lastRenderedPageBreak/>
        <w:t>无线电</w:t>
      </w:r>
      <w:r w:rsidRPr="00EC12BB">
        <w:rPr>
          <w:rFonts w:ascii="黑体" w:eastAsia="黑体" w:hint="eastAsia"/>
          <w:b/>
          <w:sz w:val="32"/>
          <w:szCs w:val="32"/>
        </w:rPr>
        <w:t>频</w:t>
      </w:r>
      <w:r>
        <w:rPr>
          <w:rFonts w:ascii="黑体" w:eastAsia="黑体" w:hint="eastAsia"/>
          <w:b/>
          <w:sz w:val="32"/>
          <w:szCs w:val="36"/>
        </w:rPr>
        <w:t>率使用申请表填表说明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本表</w:t>
      </w:r>
      <w:proofErr w:type="gramStart"/>
      <w:r>
        <w:rPr>
          <w:rFonts w:ascii="宋体" w:hint="eastAsia"/>
        </w:rPr>
        <w:t>系用户</w:t>
      </w:r>
      <w:proofErr w:type="gramEnd"/>
      <w:r>
        <w:rPr>
          <w:rFonts w:ascii="宋体" w:hint="eastAsia"/>
        </w:rPr>
        <w:t>在设置使用无线电台（站）前申请无线电频率使用许可时填写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频率申请单位“名称”栏,系指申请使用频率单位的全称。</w:t>
      </w:r>
    </w:p>
    <w:p w:rsidR="0006200E" w:rsidRPr="00254C8B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“组织机构代码”栏，</w:t>
      </w:r>
      <w:r w:rsidRPr="00177111">
        <w:rPr>
          <w:rFonts w:ascii="宋体" w:hint="eastAsia"/>
          <w:szCs w:val="21"/>
        </w:rPr>
        <w:t>系</w:t>
      </w:r>
      <w:r w:rsidRPr="00177111">
        <w:rPr>
          <w:rFonts w:ascii="宋体" w:hAnsi="宋体" w:cs="宋体" w:hint="eastAsia"/>
          <w:color w:val="000000"/>
          <w:spacing w:val="6"/>
          <w:kern w:val="0"/>
          <w:szCs w:val="21"/>
        </w:rPr>
        <w:t>指根据中华人民共和国国家标准《全国组织机构代码编制规则》（GB11714--1997），由组织机构代码登记主管部门给每个企业、事业单位、机关和社会团体颁发的在全国范围内唯一的、始终不变的法定代码。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hint="eastAsia"/>
        </w:rPr>
        <w:t>“通信地址”栏，系指</w:t>
      </w:r>
      <w:r>
        <w:rPr>
          <w:rFonts w:ascii="宋体" w:hint="eastAsia"/>
        </w:rPr>
        <w:t>申请使用频率的单位</w:t>
      </w:r>
      <w:r>
        <w:rPr>
          <w:rFonts w:hint="eastAsia"/>
        </w:rPr>
        <w:t>通信地址。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“联系电话”栏，填写联系人的办公电话和手机号码。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hint="eastAsia"/>
        </w:rPr>
        <w:t>“电子信箱”栏，填写</w:t>
      </w:r>
      <w:r>
        <w:rPr>
          <w:rFonts w:ascii="宋体" w:hint="eastAsia"/>
        </w:rPr>
        <w:t>联系人的电子信箱或单位公务信箱。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“无线电系统/网络 名称”栏，系指拟建的、由用户命名的无线电通信系统或网络的名称。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“信道带宽/波道间隔”栏，系指国家无线电管理机构根据相关标准划定的信道带宽/波道间隔，或国家标准、行业标准中规定的信道带宽/波道间隔。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 xml:space="preserve"> “业务性质”栏，系指拟建的无线电通信系统或网络所属的无线电业务性质，下拉菜单：专用、公众、其他。 “专用”系指国内各部门开展的专用通信业务；“公众”系指用于国际、国内公众通信的业务；“其他”系指不包括在上述范围内的业务”</w:t>
      </w:r>
    </w:p>
    <w:p w:rsidR="0006200E" w:rsidRPr="00395B45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“技术体制”栏，光标显示：系指拟建的无线电通信系统或网络的技术体制，例如GSM、WCDMA等等。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“网络用途”栏，光标显示：根据网络的实际用途进行填写。例如，防洪救灾、应急抢险、保障重大事件等，公众业务则不必填写。</w:t>
      </w:r>
    </w:p>
    <w:p w:rsidR="0006200E" w:rsidRPr="00DC1755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 w:rsidRPr="00DC1755">
        <w:rPr>
          <w:rFonts w:ascii="宋体" w:hint="eastAsia"/>
        </w:rPr>
        <w:t>“申请信（波）道的中心频率”栏，当用户按信（波）</w:t>
      </w:r>
      <w:proofErr w:type="gramStart"/>
      <w:r w:rsidRPr="00DC1755">
        <w:rPr>
          <w:rFonts w:ascii="宋体" w:hint="eastAsia"/>
        </w:rPr>
        <w:t>道申请</w:t>
      </w:r>
      <w:proofErr w:type="gramEnd"/>
      <w:r w:rsidRPr="00DC1755">
        <w:rPr>
          <w:rFonts w:ascii="宋体" w:hint="eastAsia"/>
        </w:rPr>
        <w:t>少数频率时填写此项，按照配对频率进行填写。“/”的左侧填写较低频率，“/”的右侧填写较高频率。</w:t>
      </w:r>
    </w:p>
    <w:p w:rsidR="0006200E" w:rsidRPr="00DC1755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 w:rsidRPr="00DC1755">
        <w:rPr>
          <w:rFonts w:ascii="宋体" w:hint="eastAsia"/>
        </w:rPr>
        <w:t>“申请频率范围”栏，当用户申请某一频率范围时填写此项，填写规则为申请频段的起始频率和终止频率，如申请多个频段，则分别填写。</w:t>
      </w:r>
    </w:p>
    <w:p w:rsidR="0006200E" w:rsidRPr="00DC1755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  <w:shd w:val="clear" w:color="auto" w:fill="FFFFFF" w:themeFill="background1"/>
        </w:rPr>
      </w:pPr>
      <w:r w:rsidRPr="00DC1755">
        <w:rPr>
          <w:rFonts w:ascii="宋体" w:hint="eastAsia"/>
          <w:shd w:val="clear" w:color="auto" w:fill="FFFFFF" w:themeFill="background1"/>
        </w:rPr>
        <w:t>“申请信（波）道的中心频率”栏和“申请频率范围”栏，填写其一即可，在相应的“</w:t>
      </w:r>
      <w:r w:rsidRPr="00DC1755">
        <w:rPr>
          <w:rFonts w:ascii="宋体" w:hAnsi="宋体" w:hint="eastAsia"/>
          <w:shd w:val="clear" w:color="auto" w:fill="FFFFFF" w:themeFill="background1"/>
        </w:rPr>
        <w:t>□</w:t>
      </w:r>
      <w:r w:rsidRPr="00DC1755">
        <w:rPr>
          <w:rFonts w:ascii="宋体" w:hint="eastAsia"/>
          <w:shd w:val="clear" w:color="auto" w:fill="FFFFFF" w:themeFill="background1"/>
        </w:rPr>
        <w:t>”内填写“</w:t>
      </w:r>
      <w:r w:rsidRPr="00DC1755">
        <w:rPr>
          <w:rFonts w:ascii="宋体" w:hAnsi="宋体"/>
          <w:shd w:val="clear" w:color="auto" w:fill="FFFFFF" w:themeFill="background1"/>
        </w:rPr>
        <w:t>√</w:t>
      </w:r>
      <w:r w:rsidRPr="00DC1755">
        <w:rPr>
          <w:rFonts w:ascii="宋体" w:hint="eastAsia"/>
          <w:shd w:val="clear" w:color="auto" w:fill="FFFFFF" w:themeFill="background1"/>
        </w:rPr>
        <w:t>”号。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“申请频率使用期限”栏，光标显示：按实际需要填写，最长使用期限不得超过10年。</w:t>
      </w:r>
    </w:p>
    <w:p w:rsidR="0006200E" w:rsidRDefault="0006200E" w:rsidP="0006200E">
      <w:pPr>
        <w:numPr>
          <w:ilvl w:val="0"/>
          <w:numId w:val="2"/>
        </w:numPr>
        <w:tabs>
          <w:tab w:val="left" w:pos="3060"/>
        </w:tabs>
        <w:spacing w:line="320" w:lineRule="exact"/>
        <w:ind w:left="357" w:hanging="357"/>
        <w:rPr>
          <w:rFonts w:ascii="宋体"/>
        </w:rPr>
      </w:pPr>
      <w:r>
        <w:rPr>
          <w:rFonts w:ascii="宋体" w:hint="eastAsia"/>
        </w:rPr>
        <w:t>“申请人承诺”栏，光标显示：系指用户申请频率时需要申明和承诺的条款。</w:t>
      </w:r>
    </w:p>
    <w:sectPr w:rsidR="00062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5" w:rsidRDefault="00A119F5" w:rsidP="0012056A">
      <w:r>
        <w:separator/>
      </w:r>
    </w:p>
  </w:endnote>
  <w:endnote w:type="continuationSeparator" w:id="0">
    <w:p w:rsidR="00A119F5" w:rsidRDefault="00A119F5" w:rsidP="001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5" w:rsidRDefault="00A119F5" w:rsidP="0012056A">
      <w:r>
        <w:separator/>
      </w:r>
    </w:p>
  </w:footnote>
  <w:footnote w:type="continuationSeparator" w:id="0">
    <w:p w:rsidR="00A119F5" w:rsidRDefault="00A119F5" w:rsidP="0012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3A"/>
    <w:multiLevelType w:val="hybridMultilevel"/>
    <w:tmpl w:val="A0CC39B2"/>
    <w:lvl w:ilvl="0" w:tplc="CA36119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722B9"/>
    <w:multiLevelType w:val="hybridMultilevel"/>
    <w:tmpl w:val="56F8C15E"/>
    <w:lvl w:ilvl="0" w:tplc="FA8C7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323B55"/>
    <w:multiLevelType w:val="hybridMultilevel"/>
    <w:tmpl w:val="FFD07060"/>
    <w:lvl w:ilvl="0" w:tplc="5FB0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E"/>
    <w:rsid w:val="0006200E"/>
    <w:rsid w:val="000D021C"/>
    <w:rsid w:val="0012056A"/>
    <w:rsid w:val="001709D6"/>
    <w:rsid w:val="001714FF"/>
    <w:rsid w:val="00190E49"/>
    <w:rsid w:val="00300E54"/>
    <w:rsid w:val="00357105"/>
    <w:rsid w:val="00447711"/>
    <w:rsid w:val="004C4C90"/>
    <w:rsid w:val="005C3C06"/>
    <w:rsid w:val="0064565E"/>
    <w:rsid w:val="00686E5F"/>
    <w:rsid w:val="009478CC"/>
    <w:rsid w:val="00A119F5"/>
    <w:rsid w:val="00A96D23"/>
    <w:rsid w:val="00B45C65"/>
    <w:rsid w:val="00BA7355"/>
    <w:rsid w:val="00CD6977"/>
    <w:rsid w:val="00D57E31"/>
    <w:rsid w:val="00DA0C0D"/>
    <w:rsid w:val="00DB7E5E"/>
    <w:rsid w:val="00E21738"/>
    <w:rsid w:val="00ED032A"/>
    <w:rsid w:val="00F022AE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胡菠</dc:creator>
  <cp:keywords/>
  <dc:description/>
  <cp:lastModifiedBy>张霞</cp:lastModifiedBy>
  <cp:revision>23</cp:revision>
  <dcterms:created xsi:type="dcterms:W3CDTF">2017-06-01T03:39:00Z</dcterms:created>
  <dcterms:modified xsi:type="dcterms:W3CDTF">2017-08-24T06:13:00Z</dcterms:modified>
</cp:coreProperties>
</file>